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D5B" w14:textId="77777777" w:rsidR="00A67BE5" w:rsidRDefault="00283C7A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sz w:val="11"/>
          <w:szCs w:val="11"/>
        </w:rPr>
        <w:t>ce</w:t>
      </w:r>
    </w:p>
    <w:p w14:paraId="43E1C18D" w14:textId="77777777" w:rsidR="00A67BE5" w:rsidRDefault="00A67BE5">
      <w:pPr>
        <w:rPr>
          <w:sz w:val="20"/>
          <w:szCs w:val="20"/>
        </w:rPr>
      </w:pPr>
    </w:p>
    <w:tbl>
      <w:tblPr>
        <w:tblStyle w:val="a"/>
        <w:tblW w:w="1065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0"/>
      </w:tblGrid>
      <w:tr w:rsidR="00A67BE5" w14:paraId="79D9BECC" w14:textId="77777777">
        <w:trPr>
          <w:trHeight w:val="834"/>
        </w:trPr>
        <w:tc>
          <w:tcPr>
            <w:tcW w:w="10650" w:type="dxa"/>
            <w:shd w:val="clear" w:color="auto" w:fill="960000"/>
          </w:tcPr>
          <w:p w14:paraId="46CB21BA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/>
              <w:ind w:left="2608" w:right="260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DISCIPLINA ELETIVA</w:t>
            </w:r>
          </w:p>
        </w:tc>
      </w:tr>
      <w:tr w:rsidR="00A67BE5" w14:paraId="21959E39" w14:textId="77777777">
        <w:trPr>
          <w:trHeight w:val="268"/>
        </w:trPr>
        <w:tc>
          <w:tcPr>
            <w:tcW w:w="10650" w:type="dxa"/>
            <w:shd w:val="clear" w:color="auto" w:fill="F2DCDB"/>
          </w:tcPr>
          <w:p w14:paraId="31799D55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color w:val="000000"/>
              </w:rPr>
            </w:pPr>
            <w:r>
              <w:rPr>
                <w:color w:val="000000"/>
              </w:rPr>
              <w:t>TEMÁTICA</w:t>
            </w:r>
          </w:p>
        </w:tc>
      </w:tr>
      <w:tr w:rsidR="00A67BE5" w14:paraId="6592D623" w14:textId="77777777">
        <w:trPr>
          <w:trHeight w:val="688"/>
        </w:trPr>
        <w:tc>
          <w:tcPr>
            <w:tcW w:w="10650" w:type="dxa"/>
            <w:shd w:val="clear" w:color="auto" w:fill="auto"/>
          </w:tcPr>
          <w:p w14:paraId="03E3AA1B" w14:textId="77777777" w:rsidR="00A67BE5" w:rsidRDefault="00A67BE5"/>
          <w:p w14:paraId="50018687" w14:textId="77777777" w:rsidR="00A67BE5" w:rsidRDefault="00283C7A">
            <w:pPr>
              <w:jc w:val="center"/>
              <w:rPr>
                <w:sz w:val="24"/>
                <w:szCs w:val="24"/>
              </w:rPr>
            </w:pPr>
            <w:r>
              <w:t>TRABALHO, CIÊNCIA  E TECNOLOGIA</w:t>
            </w:r>
          </w:p>
        </w:tc>
      </w:tr>
      <w:tr w:rsidR="00A67BE5" w14:paraId="753EB837" w14:textId="77777777">
        <w:trPr>
          <w:trHeight w:val="268"/>
        </w:trPr>
        <w:tc>
          <w:tcPr>
            <w:tcW w:w="10650" w:type="dxa"/>
            <w:shd w:val="clear" w:color="auto" w:fill="F2DCDB"/>
          </w:tcPr>
          <w:p w14:paraId="4D2DE889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color w:val="000000"/>
              </w:rPr>
            </w:pPr>
            <w:r>
              <w:rPr>
                <w:color w:val="000000"/>
              </w:rPr>
              <w:t>TÍTULO</w:t>
            </w:r>
          </w:p>
        </w:tc>
      </w:tr>
      <w:tr w:rsidR="00A67BE5" w14:paraId="33A06310" w14:textId="77777777">
        <w:trPr>
          <w:trHeight w:val="806"/>
        </w:trPr>
        <w:tc>
          <w:tcPr>
            <w:tcW w:w="10650" w:type="dxa"/>
            <w:shd w:val="clear" w:color="auto" w:fill="auto"/>
          </w:tcPr>
          <w:p w14:paraId="022E1E21" w14:textId="77777777" w:rsidR="00A67BE5" w:rsidRDefault="00A67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1"/>
                <w:szCs w:val="21"/>
              </w:rPr>
            </w:pPr>
          </w:p>
          <w:p w14:paraId="3E468D1D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</w:rPr>
            </w:pPr>
            <w:r>
              <w:t>INTERPRETANDO GALILEU</w:t>
            </w:r>
          </w:p>
        </w:tc>
      </w:tr>
      <w:tr w:rsidR="00A67BE5" w14:paraId="7D9949AE" w14:textId="77777777">
        <w:trPr>
          <w:trHeight w:val="268"/>
        </w:trPr>
        <w:tc>
          <w:tcPr>
            <w:tcW w:w="10650" w:type="dxa"/>
            <w:shd w:val="clear" w:color="auto" w:fill="F2DCDB"/>
          </w:tcPr>
          <w:p w14:paraId="2B0518E8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color w:val="000000"/>
              </w:rPr>
            </w:pPr>
            <w:r>
              <w:rPr>
                <w:color w:val="000000"/>
              </w:rPr>
              <w:t>DISCIPLINAS</w:t>
            </w:r>
          </w:p>
        </w:tc>
      </w:tr>
      <w:tr w:rsidR="00A67BE5" w14:paraId="0246645E" w14:textId="77777777">
        <w:trPr>
          <w:trHeight w:val="746"/>
        </w:trPr>
        <w:tc>
          <w:tcPr>
            <w:tcW w:w="10650" w:type="dxa"/>
            <w:vAlign w:val="center"/>
          </w:tcPr>
          <w:p w14:paraId="7CAC8A66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MATEMÁTICA E LÍNGUA PORTUGUESA</w:t>
            </w:r>
          </w:p>
        </w:tc>
      </w:tr>
      <w:tr w:rsidR="00A67BE5" w14:paraId="4B414FA0" w14:textId="77777777">
        <w:trPr>
          <w:trHeight w:val="269"/>
        </w:trPr>
        <w:tc>
          <w:tcPr>
            <w:tcW w:w="10650" w:type="dxa"/>
            <w:shd w:val="clear" w:color="auto" w:fill="F2DCDB"/>
          </w:tcPr>
          <w:p w14:paraId="6185209F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608" w:right="2596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PROFESSORES (as)</w:t>
            </w:r>
          </w:p>
        </w:tc>
      </w:tr>
      <w:tr w:rsidR="00A67BE5" w14:paraId="2F2AD022" w14:textId="77777777">
        <w:trPr>
          <w:trHeight w:val="805"/>
        </w:trPr>
        <w:tc>
          <w:tcPr>
            <w:tcW w:w="10650" w:type="dxa"/>
            <w:vAlign w:val="center"/>
          </w:tcPr>
          <w:p w14:paraId="23989221" w14:textId="564567C0" w:rsidR="00A67BE5" w:rsidRDefault="00A67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A67BE5" w14:paraId="6E9884A2" w14:textId="77777777">
        <w:trPr>
          <w:trHeight w:val="268"/>
        </w:trPr>
        <w:tc>
          <w:tcPr>
            <w:tcW w:w="10650" w:type="dxa"/>
            <w:shd w:val="clear" w:color="auto" w:fill="F2DCDB"/>
          </w:tcPr>
          <w:p w14:paraId="187F8185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color w:val="000000"/>
              </w:rPr>
            </w:pPr>
            <w:r>
              <w:rPr>
                <w:color w:val="000000"/>
              </w:rPr>
              <w:t>JUSTIFICATIVA</w:t>
            </w:r>
          </w:p>
        </w:tc>
      </w:tr>
      <w:tr w:rsidR="00A67BE5" w14:paraId="6B153CBB" w14:textId="77777777">
        <w:trPr>
          <w:trHeight w:val="900"/>
        </w:trPr>
        <w:tc>
          <w:tcPr>
            <w:tcW w:w="10650" w:type="dxa"/>
          </w:tcPr>
          <w:p w14:paraId="6C253954" w14:textId="77777777" w:rsidR="00A67BE5" w:rsidRDefault="00283C7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Diante da percepção da dificuldade dos educandos na interpretação da matemática, a eletiva Interpretando  Galileu busca desmistificar a mesma fazendo uso dos recursos semânticos, pois como é sabido a matemática está em todas formas, lugares, descobertas e </w:t>
            </w:r>
            <w:r>
              <w:rPr>
                <w:sz w:val="21"/>
                <w:szCs w:val="21"/>
              </w:rPr>
              <w:t xml:space="preserve">invenções.  Ao unir português e matemática é possível tornar o discente um protagonista no processo de ensino  que se apropria da língua materna e consegue utilizá-la com mecanismo de compreensão e decifração de códigos.  </w:t>
            </w:r>
          </w:p>
        </w:tc>
      </w:tr>
      <w:tr w:rsidR="00A67BE5" w14:paraId="11BBFE29" w14:textId="77777777">
        <w:trPr>
          <w:trHeight w:val="268"/>
        </w:trPr>
        <w:tc>
          <w:tcPr>
            <w:tcW w:w="10650" w:type="dxa"/>
            <w:shd w:val="clear" w:color="auto" w:fill="F2DCDB"/>
          </w:tcPr>
          <w:p w14:paraId="28C7BD75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color w:val="000000"/>
              </w:rPr>
            </w:pPr>
            <w:r>
              <w:rPr>
                <w:color w:val="000000"/>
              </w:rPr>
              <w:t>OBJETIVOS</w:t>
            </w:r>
          </w:p>
        </w:tc>
      </w:tr>
      <w:tr w:rsidR="00A67BE5" w14:paraId="16925FB4" w14:textId="77777777">
        <w:trPr>
          <w:trHeight w:val="1610"/>
        </w:trPr>
        <w:tc>
          <w:tcPr>
            <w:tcW w:w="10650" w:type="dxa"/>
          </w:tcPr>
          <w:p w14:paraId="74121766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Objetivo geral: </w:t>
            </w:r>
            <w:r>
              <w:rPr>
                <w:color w:val="000000"/>
                <w:sz w:val="21"/>
                <w:szCs w:val="21"/>
              </w:rPr>
              <w:br/>
            </w:r>
            <w:r>
              <w:t>Estimular os recursos cognitivos durante a leitura, buscando maximizar a compreensão e simplificar a matemática entendendo seu uso no cotidiano.</w:t>
            </w:r>
          </w:p>
          <w:p w14:paraId="7518A035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/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>Objetivos Específicos:</w:t>
            </w:r>
            <w:r>
              <w:rPr>
                <w:b/>
                <w:color w:val="000000"/>
                <w:sz w:val="21"/>
                <w:szCs w:val="21"/>
              </w:rPr>
              <w:br/>
            </w:r>
            <w:r>
              <w:rPr>
                <w:color w:val="000000"/>
              </w:rPr>
              <w:t>- Desenvolver o raciocínio lógico e interpretação de texto;</w:t>
            </w:r>
            <w:r>
              <w:rPr>
                <w:color w:val="000000"/>
              </w:rPr>
              <w:br/>
              <w:t>- Estimular</w:t>
            </w:r>
            <w:r>
              <w:rPr>
                <w:color w:val="000000"/>
              </w:rPr>
              <w:t xml:space="preserve"> </w:t>
            </w:r>
            <w:r>
              <w:t>atenção e foco na leitura</w:t>
            </w:r>
            <w:r>
              <w:rPr>
                <w:color w:val="000000"/>
              </w:rPr>
              <w:t xml:space="preserve">; </w:t>
            </w:r>
            <w:r>
              <w:rPr>
                <w:color w:val="000000"/>
              </w:rPr>
              <w:br/>
              <w:t>- Interligar o estudo da matemática e língua portuguesa com seu cotidiano;</w:t>
            </w:r>
            <w:r>
              <w:rPr>
                <w:color w:val="000000"/>
              </w:rPr>
              <w:br/>
              <w:t>- Perceber a presença da matemática e da língua portuguesa em tudo que fizermos</w:t>
            </w:r>
            <w:r>
              <w:t>;</w:t>
            </w:r>
            <w:r>
              <w:rPr>
                <w:color w:val="000000"/>
              </w:rPr>
              <w:br/>
              <w:t>- Desenvolver e resolver situações-problemas, criando e elaborando: est</w:t>
            </w:r>
            <w:r>
              <w:rPr>
                <w:color w:val="000000"/>
              </w:rPr>
              <w:t>ratégias textuais e técnicas de resolução válidas no encontro das soluções;</w:t>
            </w:r>
          </w:p>
          <w:p w14:paraId="4CC710B5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- Fortalecer o trabalho em grupo; </w:t>
            </w:r>
          </w:p>
          <w:p w14:paraId="0BD8C88C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- Estimular a autoestima. </w:t>
            </w:r>
          </w:p>
        </w:tc>
      </w:tr>
      <w:tr w:rsidR="00A67BE5" w14:paraId="090388BC" w14:textId="77777777">
        <w:trPr>
          <w:trHeight w:val="268"/>
        </w:trPr>
        <w:tc>
          <w:tcPr>
            <w:tcW w:w="10650" w:type="dxa"/>
            <w:shd w:val="clear" w:color="auto" w:fill="F2DCDB"/>
          </w:tcPr>
          <w:p w14:paraId="086E42C1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1"/>
              <w:jc w:val="center"/>
              <w:rPr>
                <w:color w:val="000000"/>
              </w:rPr>
            </w:pPr>
            <w:r>
              <w:rPr>
                <w:color w:val="000000"/>
              </w:rPr>
              <w:t>HABILIDADES E COMPETÊNCIAS A SEREM DESENVOLVIDAS</w:t>
            </w:r>
          </w:p>
        </w:tc>
      </w:tr>
      <w:tr w:rsidR="00A67BE5" w14:paraId="6C2DD53D" w14:textId="77777777">
        <w:trPr>
          <w:trHeight w:val="70"/>
        </w:trPr>
        <w:tc>
          <w:tcPr>
            <w:tcW w:w="10650" w:type="dxa"/>
          </w:tcPr>
          <w:p w14:paraId="67A144A0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Competências e habilidades:</w:t>
            </w:r>
          </w:p>
          <w:p w14:paraId="30D28E09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U</w:t>
            </w:r>
            <w:r>
              <w:rPr>
                <w:color w:val="000000"/>
                <w:sz w:val="21"/>
                <w:szCs w:val="21"/>
              </w:rPr>
              <w:t>tilizar o conhecimento geométrico para realizar a leitura e a representação da realidade e agir sobre ela;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</w:rPr>
              <w:t>Construir significados para os números naturais, inteiros, racionais e reais.</w:t>
            </w:r>
          </w:p>
          <w:p w14:paraId="189FB5EE" w14:textId="77777777" w:rsidR="00A67BE5" w:rsidRDefault="00283C7A">
            <w:pPr>
              <w:widowControl/>
            </w:pPr>
            <w:r>
              <w:t>D14 Resolver problemas envolvendo noções de volume.</w:t>
            </w:r>
            <w:r>
              <w:br/>
              <w:t>D18 Efetuar cálculo</w:t>
            </w:r>
            <w:r>
              <w:t>s com números inteiros, envolvendo as operações (adição, subtração, multiplicação, divisão, potenciação).</w:t>
            </w:r>
            <w:r>
              <w:br/>
              <w:t>D19- Resolver problema com números naturais, envolvendo diferentes significados das operações (adição, subtração, multiplicação,</w:t>
            </w:r>
          </w:p>
          <w:p w14:paraId="421329F4" w14:textId="77777777" w:rsidR="00A67BE5" w:rsidRDefault="00283C7A">
            <w:r>
              <w:t>divisão, potenciação)</w:t>
            </w:r>
            <w:r>
              <w:t>.</w:t>
            </w:r>
          </w:p>
          <w:p w14:paraId="743D3BD8" w14:textId="77777777" w:rsidR="00A67BE5" w:rsidRDefault="00283C7A">
            <w:r>
              <w:t>D06- Identificar o tema de um texto;</w:t>
            </w:r>
            <w:r>
              <w:br/>
              <w:t>D09- Diferenciar as partes secundárias de um texto;</w:t>
            </w:r>
            <w:r>
              <w:br/>
              <w:t>D11- Estabelecer relação de causa e consequência;</w:t>
            </w:r>
            <w:r>
              <w:br/>
              <w:t>D12- Identificar a finalidade do texto de diferentes gêneros;</w:t>
            </w:r>
            <w:r>
              <w:br/>
            </w:r>
            <w:r>
              <w:lastRenderedPageBreak/>
              <w:t xml:space="preserve">D14 – Distinguir fato de opinião; </w:t>
            </w:r>
          </w:p>
        </w:tc>
      </w:tr>
      <w:tr w:rsidR="00A67BE5" w14:paraId="67BECBF3" w14:textId="77777777">
        <w:trPr>
          <w:trHeight w:val="268"/>
        </w:trPr>
        <w:tc>
          <w:tcPr>
            <w:tcW w:w="10650" w:type="dxa"/>
            <w:shd w:val="clear" w:color="auto" w:fill="F2DCDB"/>
          </w:tcPr>
          <w:p w14:paraId="355A6418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CONTEÚDO PROGRAMÁTICO</w:t>
            </w:r>
          </w:p>
        </w:tc>
      </w:tr>
      <w:tr w:rsidR="00A67BE5" w14:paraId="315A62FE" w14:textId="77777777">
        <w:trPr>
          <w:trHeight w:val="1057"/>
        </w:trPr>
        <w:tc>
          <w:tcPr>
            <w:tcW w:w="10650" w:type="dxa"/>
          </w:tcPr>
          <w:p w14:paraId="1DA32450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color w:val="000000"/>
              </w:rPr>
            </w:pPr>
            <w:r>
              <w:rPr>
                <w:color w:val="000000"/>
              </w:rPr>
              <w:t>- Questões d</w:t>
            </w:r>
            <w:r>
              <w:t>e</w:t>
            </w:r>
            <w:r>
              <w:rPr>
                <w:color w:val="000000"/>
              </w:rPr>
              <w:t xml:space="preserve"> </w:t>
            </w:r>
            <w:r>
              <w:t>leitura,</w:t>
            </w:r>
            <w:r>
              <w:rPr>
                <w:color w:val="000000"/>
              </w:rPr>
              <w:t xml:space="preserve"> interpretação e </w:t>
            </w:r>
            <w:r>
              <w:t>raciocínio</w:t>
            </w:r>
            <w:r>
              <w:rPr>
                <w:color w:val="000000"/>
              </w:rPr>
              <w:t xml:space="preserve"> </w:t>
            </w:r>
            <w:r>
              <w:t>lógico;</w:t>
            </w:r>
          </w:p>
          <w:p w14:paraId="16B4CE48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color w:val="000000"/>
              </w:rPr>
            </w:pPr>
            <w:r>
              <w:rPr>
                <w:color w:val="000000"/>
              </w:rPr>
              <w:t>- Dinâmicas;</w:t>
            </w:r>
            <w:r>
              <w:rPr>
                <w:color w:val="000000"/>
              </w:rPr>
              <w:br/>
              <w:t>- Jogos</w:t>
            </w:r>
            <w:r>
              <w:t>.</w:t>
            </w:r>
          </w:p>
        </w:tc>
      </w:tr>
      <w:tr w:rsidR="00A67BE5" w14:paraId="23BF9CA8" w14:textId="77777777">
        <w:trPr>
          <w:trHeight w:val="268"/>
        </w:trPr>
        <w:tc>
          <w:tcPr>
            <w:tcW w:w="10650" w:type="dxa"/>
            <w:shd w:val="clear" w:color="auto" w:fill="F2DCDB"/>
          </w:tcPr>
          <w:p w14:paraId="73948502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9"/>
              <w:jc w:val="center"/>
              <w:rPr>
                <w:color w:val="000000"/>
              </w:rPr>
            </w:pPr>
            <w:r>
              <w:rPr>
                <w:color w:val="000000"/>
              </w:rPr>
              <w:t>METODOLOGIA</w:t>
            </w:r>
          </w:p>
        </w:tc>
      </w:tr>
      <w:tr w:rsidR="00A67BE5" w14:paraId="06CAFA58" w14:textId="77777777">
        <w:trPr>
          <w:trHeight w:val="384"/>
        </w:trPr>
        <w:tc>
          <w:tcPr>
            <w:tcW w:w="10650" w:type="dxa"/>
          </w:tcPr>
          <w:p w14:paraId="08E9A77C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Roda de conversa, debates, atividades investigativas, aula expositiva, leitura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interpretação, produção e apreciação</w:t>
            </w:r>
            <w:r>
              <w:rPr>
                <w:color w:val="000000"/>
              </w:rPr>
              <w:t xml:space="preserve"> de j</w:t>
            </w:r>
            <w:r>
              <w:t>ogos</w:t>
            </w:r>
            <w:r>
              <w:rPr>
                <w:color w:val="000000"/>
              </w:rPr>
              <w:t>.</w:t>
            </w:r>
          </w:p>
        </w:tc>
      </w:tr>
      <w:tr w:rsidR="00A67BE5" w14:paraId="02F95324" w14:textId="77777777">
        <w:trPr>
          <w:trHeight w:val="268"/>
        </w:trPr>
        <w:tc>
          <w:tcPr>
            <w:tcW w:w="10650" w:type="dxa"/>
            <w:shd w:val="clear" w:color="auto" w:fill="F2DCDB"/>
          </w:tcPr>
          <w:p w14:paraId="33F2C195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color w:val="000000"/>
              </w:rPr>
            </w:pPr>
            <w:r>
              <w:rPr>
                <w:color w:val="000000"/>
              </w:rPr>
              <w:t>RECURSOS DIDÁTICOS NECESSÁRIOS</w:t>
            </w:r>
          </w:p>
        </w:tc>
      </w:tr>
      <w:tr w:rsidR="00A67BE5" w14:paraId="72EC97AD" w14:textId="77777777">
        <w:trPr>
          <w:trHeight w:val="551"/>
        </w:trPr>
        <w:tc>
          <w:tcPr>
            <w:tcW w:w="10650" w:type="dxa"/>
            <w:vAlign w:val="center"/>
          </w:tcPr>
          <w:p w14:paraId="31F72FAC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Data show, tv, celular, </w:t>
            </w:r>
            <w:r>
              <w:t>notebook,régua,latas, papelão,</w:t>
            </w:r>
            <w:r>
              <w:rPr>
                <w:color w:val="000000"/>
              </w:rPr>
              <w:t xml:space="preserve"> tesoura,</w:t>
            </w:r>
            <w:r>
              <w:t xml:space="preserve"> lápis de cor</w:t>
            </w:r>
            <w:r>
              <w:rPr>
                <w:color w:val="000000"/>
              </w:rPr>
              <w:t>, cartolina, papel A4.</w:t>
            </w:r>
          </w:p>
        </w:tc>
      </w:tr>
      <w:tr w:rsidR="00A67BE5" w14:paraId="4BF276AF" w14:textId="77777777">
        <w:trPr>
          <w:trHeight w:val="268"/>
        </w:trPr>
        <w:tc>
          <w:tcPr>
            <w:tcW w:w="10650" w:type="dxa"/>
            <w:shd w:val="clear" w:color="auto" w:fill="F2DCDB"/>
          </w:tcPr>
          <w:p w14:paraId="7983AF8C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9"/>
              <w:jc w:val="center"/>
              <w:rPr>
                <w:color w:val="000000"/>
              </w:rPr>
            </w:pPr>
            <w:r>
              <w:rPr>
                <w:color w:val="000000"/>
              </w:rPr>
              <w:t>PROPOSTA PARA A CULMINÂNCIA</w:t>
            </w:r>
          </w:p>
        </w:tc>
      </w:tr>
      <w:tr w:rsidR="00A67BE5" w14:paraId="115B2C8B" w14:textId="77777777">
        <w:trPr>
          <w:trHeight w:val="1074"/>
        </w:trPr>
        <w:tc>
          <w:tcPr>
            <w:tcW w:w="10650" w:type="dxa"/>
          </w:tcPr>
          <w:p w14:paraId="2FBFF5E9" w14:textId="77777777" w:rsidR="00A67BE5" w:rsidRDefault="00A67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249B96B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t xml:space="preserve">Exposição e apresentação </w:t>
            </w:r>
            <w:r>
              <w:rPr>
                <w:color w:val="000000"/>
              </w:rPr>
              <w:t>de jogos elaborados pelos estudantes</w:t>
            </w:r>
            <w:r>
              <w:t xml:space="preserve"> durante a eletiva.</w:t>
            </w:r>
          </w:p>
        </w:tc>
      </w:tr>
      <w:tr w:rsidR="00A67BE5" w14:paraId="361F6640" w14:textId="77777777">
        <w:trPr>
          <w:trHeight w:val="268"/>
        </w:trPr>
        <w:tc>
          <w:tcPr>
            <w:tcW w:w="10650" w:type="dxa"/>
            <w:shd w:val="clear" w:color="auto" w:fill="F2DCDB"/>
          </w:tcPr>
          <w:p w14:paraId="71C88EE9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9"/>
              <w:jc w:val="center"/>
              <w:rPr>
                <w:color w:val="000000"/>
              </w:rPr>
            </w:pPr>
            <w:r>
              <w:rPr>
                <w:color w:val="000000"/>
              </w:rPr>
              <w:t>AVALIAÇÃO</w:t>
            </w:r>
          </w:p>
        </w:tc>
      </w:tr>
      <w:tr w:rsidR="00A67BE5" w14:paraId="4D7C1001" w14:textId="77777777">
        <w:trPr>
          <w:trHeight w:val="779"/>
        </w:trPr>
        <w:tc>
          <w:tcPr>
            <w:tcW w:w="10650" w:type="dxa"/>
          </w:tcPr>
          <w:p w14:paraId="6DA26469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02"/>
              <w:rPr>
                <w:color w:val="000000"/>
              </w:rPr>
            </w:pPr>
            <w:r>
              <w:rPr>
                <w:color w:val="000000"/>
              </w:rPr>
              <w:t>Formativa;</w:t>
            </w:r>
          </w:p>
          <w:p w14:paraId="09F31512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02"/>
              <w:rPr>
                <w:color w:val="000000"/>
              </w:rPr>
            </w:pPr>
            <w:r>
              <w:rPr>
                <w:color w:val="000000"/>
              </w:rPr>
              <w:t>Procedimental; Atitudinal.</w:t>
            </w:r>
          </w:p>
        </w:tc>
      </w:tr>
      <w:tr w:rsidR="00A67BE5" w14:paraId="3E61A5E5" w14:textId="77777777">
        <w:trPr>
          <w:trHeight w:val="268"/>
        </w:trPr>
        <w:tc>
          <w:tcPr>
            <w:tcW w:w="10650" w:type="dxa"/>
            <w:shd w:val="clear" w:color="auto" w:fill="F2DCDB"/>
          </w:tcPr>
          <w:p w14:paraId="2B7EE69C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color w:val="000000"/>
              </w:rPr>
            </w:pPr>
            <w:r>
              <w:rPr>
                <w:color w:val="000000"/>
              </w:rPr>
              <w:t>REFERÊNCIAS BIBLIOGRÁFICAS</w:t>
            </w:r>
          </w:p>
        </w:tc>
      </w:tr>
      <w:tr w:rsidR="00A67BE5" w14:paraId="27210114" w14:textId="77777777">
        <w:trPr>
          <w:trHeight w:val="4517"/>
        </w:trPr>
        <w:tc>
          <w:tcPr>
            <w:tcW w:w="10650" w:type="dxa"/>
          </w:tcPr>
          <w:p w14:paraId="43261703" w14:textId="77777777" w:rsidR="00A67BE5" w:rsidRDefault="00A67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27"/>
              <w:rPr>
                <w:color w:val="000000"/>
              </w:rPr>
            </w:pPr>
          </w:p>
          <w:p w14:paraId="274D993F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27"/>
              <w:rPr>
                <w:color w:val="000000"/>
              </w:rPr>
            </w:pPr>
            <w:r>
              <w:rPr>
                <w:color w:val="000000"/>
              </w:rPr>
              <w:t xml:space="preserve">NEVES, A. C. Etnomatemática – A busca pela essência matemática. Seropédica: UFRRJ, mai. 2003, 36 p. (Monografia de conclusão de curso) </w:t>
            </w:r>
          </w:p>
          <w:p w14:paraId="66FCC07B" w14:textId="77777777" w:rsidR="00A67BE5" w:rsidRDefault="00A67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27"/>
              <w:rPr>
                <w:color w:val="000000"/>
              </w:rPr>
            </w:pPr>
          </w:p>
          <w:p w14:paraId="09710A2D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27"/>
              <w:rPr>
                <w:color w:val="000000"/>
              </w:rPr>
            </w:pPr>
            <w:r>
              <w:rPr>
                <w:color w:val="000000"/>
              </w:rPr>
              <w:t>DANTE, L. R. Tudo é matemática - Ensino fundamental. Editora Ática</w:t>
            </w:r>
          </w:p>
          <w:p w14:paraId="50A00B81" w14:textId="77777777" w:rsidR="00A67BE5" w:rsidRDefault="00A67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27"/>
              <w:rPr>
                <w:color w:val="000000"/>
              </w:rPr>
            </w:pPr>
          </w:p>
          <w:p w14:paraId="26E645AE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27"/>
              <w:rPr>
                <w:rFonts w:ascii="Arial" w:eastAsia="Arial" w:hAnsi="Arial" w:cs="Arial"/>
                <w:color w:val="4D5156"/>
                <w:sz w:val="21"/>
                <w:szCs w:val="21"/>
                <w:highlight w:val="white"/>
              </w:rPr>
            </w:pPr>
            <w:r>
              <w:rPr>
                <w:color w:val="000000"/>
              </w:rPr>
              <w:t>O Português do Dia-a-dia- Como falar e escrever mel</w:t>
            </w:r>
            <w:r>
              <w:rPr>
                <w:color w:val="000000"/>
              </w:rPr>
              <w:t>hor. Rio de Janeiro: Rocco, 2004. 17 - SOARES, Magda B. e CAMPOS, Edson N.</w:t>
            </w:r>
            <w:r>
              <w:rPr>
                <w:rFonts w:ascii="Arial" w:eastAsia="Arial" w:hAnsi="Arial" w:cs="Arial"/>
                <w:color w:val="4D5156"/>
                <w:sz w:val="21"/>
                <w:szCs w:val="21"/>
                <w:highlight w:val="white"/>
              </w:rPr>
              <w:t> </w:t>
            </w:r>
          </w:p>
          <w:p w14:paraId="6B0BFAAD" w14:textId="77777777" w:rsidR="00A67BE5" w:rsidRDefault="00A67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27"/>
              <w:rPr>
                <w:rFonts w:ascii="Arial" w:eastAsia="Arial" w:hAnsi="Arial" w:cs="Arial"/>
                <w:color w:val="4D5156"/>
                <w:sz w:val="21"/>
                <w:szCs w:val="21"/>
                <w:highlight w:val="white"/>
              </w:rPr>
            </w:pPr>
          </w:p>
          <w:p w14:paraId="459CB037" w14:textId="77777777" w:rsidR="00A67BE5" w:rsidRDefault="0028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BOMFIM, Eneida. do R. M. Advérbios, preposições ou conjunções? Fronteiras entre classes de palavras. In: VALENTE, André (org.) Aulas de Português: Perspectivas inovadoras. Petrópo</w:t>
            </w:r>
            <w:r>
              <w:rPr>
                <w:color w:val="000000"/>
              </w:rPr>
              <w:t>lis (RJ): Vozes, 1999a.</w:t>
            </w:r>
          </w:p>
        </w:tc>
      </w:tr>
    </w:tbl>
    <w:p w14:paraId="3833209A" w14:textId="77777777" w:rsidR="00A67BE5" w:rsidRDefault="00A67BE5"/>
    <w:sectPr w:rsidR="00A67BE5">
      <w:headerReference w:type="default" r:id="rId7"/>
      <w:pgSz w:w="11910" w:h="16840"/>
      <w:pgMar w:top="360" w:right="560" w:bottom="280" w:left="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28C5" w14:textId="77777777" w:rsidR="00283C7A" w:rsidRDefault="00283C7A">
      <w:r>
        <w:separator/>
      </w:r>
    </w:p>
  </w:endnote>
  <w:endnote w:type="continuationSeparator" w:id="0">
    <w:p w14:paraId="08A359B3" w14:textId="77777777" w:rsidR="00283C7A" w:rsidRDefault="0028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C566" w14:textId="77777777" w:rsidR="00283C7A" w:rsidRDefault="00283C7A">
      <w:r>
        <w:separator/>
      </w:r>
    </w:p>
  </w:footnote>
  <w:footnote w:type="continuationSeparator" w:id="0">
    <w:p w14:paraId="5B777FF6" w14:textId="77777777" w:rsidR="00283C7A" w:rsidRDefault="00283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5F5A" w14:textId="77777777" w:rsidR="00A67BE5" w:rsidRDefault="00283C7A">
    <w:pPr>
      <w:jc w:val="center"/>
      <w:rPr>
        <w:rFonts w:ascii="Arial" w:eastAsia="Arial" w:hAnsi="Arial" w:cs="Arial"/>
        <w:b/>
        <w:sz w:val="24"/>
        <w:szCs w:val="24"/>
      </w:rPr>
    </w:pPr>
    <w:r>
      <w:rPr>
        <w:noProof/>
        <w:sz w:val="14"/>
        <w:szCs w:val="14"/>
      </w:rPr>
      <w:drawing>
        <wp:inline distT="0" distB="0" distL="0" distR="0" wp14:anchorId="7AD38320" wp14:editId="1F5A6D65">
          <wp:extent cx="535305" cy="46228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5305" cy="462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15B44C" w14:textId="77777777" w:rsidR="00A67BE5" w:rsidRDefault="00283C7A">
    <w:pPr>
      <w:keepNext/>
      <w:jc w:val="center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GOVERNO DO ESTADO DO ESPÍRITO SANTO</w:t>
    </w:r>
  </w:p>
  <w:p w14:paraId="66B28EB7" w14:textId="77777777" w:rsidR="00A67BE5" w:rsidRDefault="00283C7A">
    <w:pPr>
      <w:keepNext/>
      <w:jc w:val="center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SECRETARIA DE ESTADO DA EDUCAÇÃO</w:t>
    </w:r>
  </w:p>
  <w:p w14:paraId="230EE83B" w14:textId="77777777" w:rsidR="00A67BE5" w:rsidRDefault="00A67BE5">
    <w:pPr>
      <w:jc w:val="center"/>
      <w:rPr>
        <w:rFonts w:ascii="Arial" w:eastAsia="Arial" w:hAnsi="Arial" w:cs="Arial"/>
        <w:b/>
        <w:sz w:val="14"/>
        <w:szCs w:val="14"/>
      </w:rPr>
    </w:pPr>
  </w:p>
  <w:p w14:paraId="0DEFF036" w14:textId="77777777" w:rsidR="00A67BE5" w:rsidRDefault="00A67BE5">
    <w:pPr>
      <w:jc w:val="center"/>
      <w:rPr>
        <w:rFonts w:ascii="Arial" w:eastAsia="Arial" w:hAnsi="Arial" w:cs="Arial"/>
        <w:b/>
        <w:sz w:val="14"/>
        <w:szCs w:val="14"/>
      </w:rPr>
    </w:pPr>
  </w:p>
  <w:p w14:paraId="2C39E611" w14:textId="2AA6A645" w:rsidR="00A67BE5" w:rsidRPr="006840EF" w:rsidRDefault="00A67BE5" w:rsidP="006840EF">
    <w:pPr>
      <w:tabs>
        <w:tab w:val="left" w:pos="305"/>
      </w:tabs>
      <w:rPr>
        <w:rFonts w:ascii="Arial" w:eastAsia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E5"/>
    <w:rsid w:val="00283C7A"/>
    <w:rsid w:val="006840EF"/>
    <w:rsid w:val="00A6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FBE9"/>
  <w15:docId w15:val="{F12C4258-9CD9-41A8-A058-804EBB2E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4D1"/>
    <w:rPr>
      <w:lang w:eastAsia="pt-PT" w:bidi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uiPriority w:val="2"/>
    <w:semiHidden/>
    <w:unhideWhenUsed/>
    <w:qFormat/>
    <w:rsid w:val="008E64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E64D1"/>
  </w:style>
  <w:style w:type="paragraph" w:customStyle="1" w:styleId="TableParagraph">
    <w:name w:val="Table Paragraph"/>
    <w:basedOn w:val="Normal"/>
    <w:uiPriority w:val="1"/>
    <w:qFormat/>
    <w:rsid w:val="008E64D1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E325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51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32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517"/>
    <w:rPr>
      <w:rFonts w:ascii="Calibri" w:eastAsia="Calibri" w:hAnsi="Calibri" w:cs="Calibri"/>
      <w:lang w:val="pt-PT" w:eastAsia="pt-PT" w:bidi="pt-PT"/>
    </w:rPr>
  </w:style>
  <w:style w:type="paragraph" w:styleId="SemEspaamento">
    <w:name w:val="No Spacing"/>
    <w:uiPriority w:val="1"/>
    <w:qFormat/>
    <w:rsid w:val="00E32517"/>
    <w:rPr>
      <w:lang w:eastAsia="pt-PT" w:bidi="pt-PT"/>
    </w:rPr>
  </w:style>
  <w:style w:type="character" w:styleId="Hyperlink">
    <w:name w:val="Hyperlink"/>
    <w:basedOn w:val="Fontepargpadro"/>
    <w:uiPriority w:val="99"/>
    <w:unhideWhenUsed/>
    <w:rsid w:val="002B55AC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2B55A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03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3B8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467400"/>
    <w:rPr>
      <w:i/>
      <w:iCs/>
    </w:rPr>
  </w:style>
  <w:style w:type="character" w:styleId="Forte">
    <w:name w:val="Strong"/>
    <w:basedOn w:val="Fontepargpadro"/>
    <w:uiPriority w:val="22"/>
    <w:qFormat/>
    <w:rsid w:val="00481FF6"/>
    <w:rPr>
      <w:b/>
      <w:bCs/>
    </w:rPr>
  </w:style>
  <w:style w:type="paragraph" w:styleId="NormalWeb">
    <w:name w:val="Normal (Web)"/>
    <w:basedOn w:val="Normal"/>
    <w:uiPriority w:val="99"/>
    <w:unhideWhenUsed/>
    <w:rsid w:val="00481F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hJ3ote1paJdP0JxTMxxuBH+iLg==">AMUW2mUq1vQZ11nu+mxm5IJY63WC/ZTpgDl6lSbPaEdN4VTcLas4BgQ1HBD2q5AWRjoQfxybRlcQPLlRVQK38Df337KW3bg41KbNZ+pqC/erMnctqLjrzTmDbrlx4EEnJRGd+RPLzl++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nataliavolpibasileu@gmail.com</cp:lastModifiedBy>
  <cp:revision>2</cp:revision>
  <dcterms:created xsi:type="dcterms:W3CDTF">2021-06-29T17:02:00Z</dcterms:created>
  <dcterms:modified xsi:type="dcterms:W3CDTF">2022-04-26T22:23:00Z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2020-01-13T00:00:00Z</vt:filetime>
  </property>
</Properties>
</file>